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F39A0" w14:textId="4A6C7FD5" w:rsidR="006A1226" w:rsidRDefault="00CD39B4">
      <w:pPr>
        <w:spacing w:before="78"/>
        <w:ind w:left="2268" w:right="2265"/>
        <w:jc w:val="center"/>
        <w:rPr>
          <w:b/>
          <w:sz w:val="28"/>
        </w:rPr>
      </w:pPr>
      <w:r>
        <w:rPr>
          <w:b/>
          <w:sz w:val="28"/>
        </w:rPr>
        <w:t>Radiant Power Corp</w:t>
      </w:r>
    </w:p>
    <w:p w14:paraId="3F70F0AF" w14:textId="460717C4" w:rsidR="00CD39B4" w:rsidRDefault="00CD39B4">
      <w:pPr>
        <w:spacing w:before="78"/>
        <w:ind w:left="2268" w:right="2265"/>
        <w:jc w:val="center"/>
        <w:rPr>
          <w:b/>
          <w:sz w:val="28"/>
        </w:rPr>
      </w:pPr>
      <w:r>
        <w:rPr>
          <w:noProof/>
          <w:color w:val="1F497D"/>
        </w:rPr>
        <w:drawing>
          <wp:inline distT="0" distB="0" distL="0" distR="0" wp14:anchorId="3641A547" wp14:editId="3AA0CDE2">
            <wp:extent cx="3886200" cy="409575"/>
            <wp:effectExtent l="0" t="0" r="0" b="9525"/>
            <wp:docPr id="1" name="Picture 1" descr="3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Logos"/>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886200" cy="409575"/>
                    </a:xfrm>
                    <a:prstGeom prst="rect">
                      <a:avLst/>
                    </a:prstGeom>
                    <a:noFill/>
                    <a:ln>
                      <a:noFill/>
                    </a:ln>
                  </pic:spPr>
                </pic:pic>
              </a:graphicData>
            </a:graphic>
          </wp:inline>
        </w:drawing>
      </w:r>
    </w:p>
    <w:p w14:paraId="2F029A0D" w14:textId="77777777" w:rsidR="006A1226" w:rsidRDefault="006A1226">
      <w:pPr>
        <w:pStyle w:val="BodyText"/>
        <w:rPr>
          <w:b/>
          <w:sz w:val="28"/>
        </w:rPr>
      </w:pPr>
    </w:p>
    <w:p w14:paraId="11DC9FFE" w14:textId="77777777" w:rsidR="006A1226" w:rsidRDefault="0077512A">
      <w:pPr>
        <w:pStyle w:val="Title"/>
      </w:pPr>
      <w:r>
        <w:t>EXPORT COMPLIANCE STATEMENT</w:t>
      </w:r>
    </w:p>
    <w:p w14:paraId="57F2A0C0" w14:textId="77777777" w:rsidR="006A1226" w:rsidRDefault="0077512A">
      <w:pPr>
        <w:pStyle w:val="Heading1"/>
        <w:spacing w:before="275"/>
      </w:pPr>
      <w:r>
        <w:t>Dear Valued Customer:</w:t>
      </w:r>
    </w:p>
    <w:p w14:paraId="120DB88D" w14:textId="77777777" w:rsidR="006A1226" w:rsidRDefault="006A1226">
      <w:pPr>
        <w:pStyle w:val="BodyText"/>
        <w:spacing w:before="7"/>
        <w:rPr>
          <w:b/>
        </w:rPr>
      </w:pPr>
    </w:p>
    <w:p w14:paraId="336DA1AF" w14:textId="77777777" w:rsidR="006A1226" w:rsidRDefault="0077512A">
      <w:pPr>
        <w:ind w:left="112" w:right="384"/>
        <w:rPr>
          <w:sz w:val="24"/>
        </w:rPr>
      </w:pPr>
      <w:r>
        <w:rPr>
          <w:sz w:val="24"/>
        </w:rPr>
        <w:t>The commodities purchased from (</w:t>
      </w:r>
      <w:r>
        <w:rPr>
          <w:i/>
          <w:sz w:val="24"/>
        </w:rPr>
        <w:t>insert company name</w:t>
      </w:r>
      <w:r>
        <w:rPr>
          <w:sz w:val="24"/>
        </w:rPr>
        <w:t>) (“Seller”) and the supporting technical data are subject to the United States Government’s Export Administration Regulations (“EAR”) or the International Traffic in Arms Regulations (“ITAR”), and to regulations enforced by the U.S. Treasury Department’s Office of Foreign Assets Control (“OFAC”).</w:t>
      </w:r>
    </w:p>
    <w:p w14:paraId="0FE093B7" w14:textId="77777777" w:rsidR="006A1226" w:rsidRDefault="006A1226">
      <w:pPr>
        <w:pStyle w:val="BodyText"/>
        <w:rPr>
          <w:sz w:val="24"/>
        </w:rPr>
      </w:pPr>
    </w:p>
    <w:p w14:paraId="358F7E7E" w14:textId="77777777" w:rsidR="006A1226" w:rsidRDefault="0077512A">
      <w:pPr>
        <w:ind w:left="112" w:right="383"/>
        <w:rPr>
          <w:sz w:val="24"/>
        </w:rPr>
      </w:pPr>
      <w:r>
        <w:rPr>
          <w:sz w:val="24"/>
        </w:rPr>
        <w:t>Please complete and return this Export Compliance Statement and the Seller will retain this document for future orders.</w:t>
      </w:r>
    </w:p>
    <w:p w14:paraId="5CF4654A" w14:textId="77777777" w:rsidR="006A1226" w:rsidRDefault="006A1226">
      <w:pPr>
        <w:pStyle w:val="BodyText"/>
        <w:spacing w:before="8"/>
        <w:rPr>
          <w:sz w:val="24"/>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8"/>
        <w:gridCol w:w="5508"/>
      </w:tblGrid>
      <w:tr w:rsidR="006A1226" w14:paraId="7DEEFF04" w14:textId="77777777">
        <w:trPr>
          <w:trHeight w:val="438"/>
        </w:trPr>
        <w:tc>
          <w:tcPr>
            <w:tcW w:w="3348" w:type="dxa"/>
            <w:tcBorders>
              <w:right w:val="nil"/>
            </w:tcBorders>
          </w:tcPr>
          <w:p w14:paraId="26DEA698" w14:textId="77777777" w:rsidR="006A1226" w:rsidRDefault="0077512A">
            <w:pPr>
              <w:pStyle w:val="TableParagraph"/>
              <w:spacing w:before="73"/>
              <w:ind w:right="101"/>
              <w:jc w:val="right"/>
              <w:rPr>
                <w:sz w:val="24"/>
              </w:rPr>
            </w:pPr>
            <w:r>
              <w:rPr>
                <w:sz w:val="24"/>
              </w:rPr>
              <w:t>Customer Name (“Customer”):</w:t>
            </w:r>
          </w:p>
        </w:tc>
        <w:tc>
          <w:tcPr>
            <w:tcW w:w="5508" w:type="dxa"/>
            <w:tcBorders>
              <w:left w:val="nil"/>
            </w:tcBorders>
            <w:shd w:val="clear" w:color="auto" w:fill="EEECE1"/>
          </w:tcPr>
          <w:p w14:paraId="46A9DF79" w14:textId="77777777" w:rsidR="006A1226" w:rsidRDefault="006A1226">
            <w:pPr>
              <w:pStyle w:val="TableParagraph"/>
            </w:pPr>
          </w:p>
        </w:tc>
      </w:tr>
      <w:tr w:rsidR="006A1226" w14:paraId="7A9F573D" w14:textId="77777777">
        <w:trPr>
          <w:trHeight w:val="827"/>
        </w:trPr>
        <w:tc>
          <w:tcPr>
            <w:tcW w:w="3348" w:type="dxa"/>
            <w:tcBorders>
              <w:right w:val="nil"/>
            </w:tcBorders>
          </w:tcPr>
          <w:p w14:paraId="54BA4964" w14:textId="77777777" w:rsidR="006A1226" w:rsidRDefault="006A1226">
            <w:pPr>
              <w:pStyle w:val="TableParagraph"/>
              <w:spacing w:before="3"/>
              <w:rPr>
                <w:sz w:val="23"/>
              </w:rPr>
            </w:pPr>
          </w:p>
          <w:p w14:paraId="099E74CC" w14:textId="77777777" w:rsidR="006A1226" w:rsidRDefault="0077512A">
            <w:pPr>
              <w:pStyle w:val="TableParagraph"/>
              <w:ind w:right="104"/>
              <w:jc w:val="right"/>
              <w:rPr>
                <w:sz w:val="24"/>
              </w:rPr>
            </w:pPr>
            <w:r>
              <w:rPr>
                <w:sz w:val="24"/>
              </w:rPr>
              <w:t>Address:</w:t>
            </w:r>
          </w:p>
        </w:tc>
        <w:tc>
          <w:tcPr>
            <w:tcW w:w="5508" w:type="dxa"/>
            <w:tcBorders>
              <w:left w:val="nil"/>
            </w:tcBorders>
            <w:shd w:val="clear" w:color="auto" w:fill="EEECE1"/>
          </w:tcPr>
          <w:p w14:paraId="1EF36611" w14:textId="77777777" w:rsidR="006A1226" w:rsidRDefault="006A1226">
            <w:pPr>
              <w:pStyle w:val="TableParagraph"/>
            </w:pPr>
          </w:p>
        </w:tc>
      </w:tr>
    </w:tbl>
    <w:p w14:paraId="4DE2C0C9" w14:textId="77777777" w:rsidR="006A1226" w:rsidRDefault="006A1226">
      <w:pPr>
        <w:pStyle w:val="BodyText"/>
        <w:spacing w:before="8"/>
      </w:pPr>
    </w:p>
    <w:p w14:paraId="0F0AC227" w14:textId="77777777" w:rsidR="006A1226" w:rsidRDefault="0077512A">
      <w:pPr>
        <w:ind w:left="112"/>
        <w:rPr>
          <w:b/>
          <w:sz w:val="24"/>
        </w:rPr>
      </w:pPr>
      <w:r>
        <w:rPr>
          <w:b/>
          <w:sz w:val="24"/>
        </w:rPr>
        <w:t>Customer confirms that:</w:t>
      </w:r>
    </w:p>
    <w:p w14:paraId="2AC7118F" w14:textId="77777777" w:rsidR="006A1226" w:rsidRDefault="006A1226">
      <w:pPr>
        <w:pStyle w:val="BodyText"/>
        <w:spacing w:before="9"/>
        <w:rPr>
          <w:b/>
        </w:rPr>
      </w:pPr>
    </w:p>
    <w:p w14:paraId="31F9680D" w14:textId="77777777" w:rsidR="006A1226" w:rsidRDefault="0077512A">
      <w:pPr>
        <w:pStyle w:val="ListParagraph"/>
        <w:numPr>
          <w:ilvl w:val="0"/>
          <w:numId w:val="1"/>
        </w:numPr>
        <w:tabs>
          <w:tab w:val="left" w:pos="833"/>
        </w:tabs>
        <w:rPr>
          <w:sz w:val="23"/>
        </w:rPr>
      </w:pPr>
      <w:r>
        <w:rPr>
          <w:sz w:val="23"/>
        </w:rPr>
        <w:t>In the event it will sell, resell, license, transfer, export or re-export any commodity purchased from Seller in any manner, to any person, to any country, or for any use, Customer will do so only in full compliance with the laws and regulations of the U.S. Dept. of State, Dept. of Commerce and Dept. of the Treasury, including but not limited to the Arms Export Control Act, Export Administration Act, Foreign Corrupt Practices Act, Anti-Boycott Law, and their implementing regulations, including regulations enforced by the U.S. Treasury Department’s Office of Foreign Assets Control</w:t>
      </w:r>
      <w:r>
        <w:rPr>
          <w:spacing w:val="-35"/>
          <w:sz w:val="23"/>
        </w:rPr>
        <w:t xml:space="preserve"> </w:t>
      </w:r>
      <w:r>
        <w:rPr>
          <w:sz w:val="23"/>
        </w:rPr>
        <w:t>(“OFAC”).</w:t>
      </w:r>
    </w:p>
    <w:p w14:paraId="4819910A" w14:textId="77777777" w:rsidR="006A1226" w:rsidRDefault="0077512A">
      <w:pPr>
        <w:pStyle w:val="ListParagraph"/>
        <w:numPr>
          <w:ilvl w:val="0"/>
          <w:numId w:val="1"/>
        </w:numPr>
        <w:tabs>
          <w:tab w:val="left" w:pos="833"/>
        </w:tabs>
        <w:ind w:right="183"/>
        <w:rPr>
          <w:sz w:val="23"/>
        </w:rPr>
      </w:pPr>
      <w:r>
        <w:rPr>
          <w:sz w:val="23"/>
        </w:rPr>
        <w:t>The commodities and technical data acquired from Seller will not be used for any purpose connected with chemical, biological, or nuclear weapons, or missiles capable of delivering such weapons, nor will they be resold if it is known or suspected that the commodities or technical data are intended or likely to be used for such</w:t>
      </w:r>
      <w:r>
        <w:rPr>
          <w:spacing w:val="-5"/>
          <w:sz w:val="23"/>
        </w:rPr>
        <w:t xml:space="preserve"> </w:t>
      </w:r>
      <w:r>
        <w:rPr>
          <w:sz w:val="23"/>
        </w:rPr>
        <w:t>purpose.</w:t>
      </w:r>
    </w:p>
    <w:p w14:paraId="17DE1011" w14:textId="77777777" w:rsidR="004F3D20" w:rsidRPr="004F3D20" w:rsidRDefault="004F3D20" w:rsidP="004F3D20">
      <w:pPr>
        <w:pStyle w:val="ListParagraph"/>
        <w:numPr>
          <w:ilvl w:val="0"/>
          <w:numId w:val="1"/>
        </w:numPr>
        <w:rPr>
          <w:sz w:val="24"/>
          <w:szCs w:val="24"/>
        </w:rPr>
      </w:pPr>
      <w:r w:rsidRPr="004F3D20">
        <w:rPr>
          <w:sz w:val="24"/>
          <w:szCs w:val="24"/>
        </w:rPr>
        <w:t>In addition to the license requirements for items specified on the Commerce Control List (CCL) (</w:t>
      </w:r>
      <w:hyperlink r:id="rId7" w:history="1">
        <w:r w:rsidR="00B67B03">
          <w:rPr>
            <w:rStyle w:val="Hyperlink"/>
            <w:sz w:val="24"/>
            <w:szCs w:val="24"/>
          </w:rPr>
          <w:t>Supplement N</w:t>
        </w:r>
        <w:r>
          <w:rPr>
            <w:rStyle w:val="Hyperlink"/>
            <w:sz w:val="24"/>
            <w:szCs w:val="24"/>
          </w:rPr>
          <w:t>o. 1 to P</w:t>
        </w:r>
        <w:r w:rsidRPr="004F3D20">
          <w:rPr>
            <w:rStyle w:val="Hyperlink"/>
            <w:sz w:val="24"/>
            <w:szCs w:val="24"/>
          </w:rPr>
          <w:t>art 774</w:t>
        </w:r>
      </w:hyperlink>
      <w:r w:rsidRPr="004F3D20">
        <w:rPr>
          <w:sz w:val="24"/>
          <w:szCs w:val="24"/>
        </w:rPr>
        <w:t xml:space="preserve">), you may not export, reexport, or transfer (in-country) as outlined/defined within </w:t>
      </w:r>
      <w:hyperlink r:id="rId8" w:history="1">
        <w:r w:rsidRPr="004F3D20">
          <w:rPr>
            <w:rStyle w:val="Hyperlink"/>
            <w:sz w:val="24"/>
            <w:szCs w:val="24"/>
          </w:rPr>
          <w:t>15 CFR 744.21</w:t>
        </w:r>
      </w:hyperlink>
      <w:r w:rsidRPr="004F3D20">
        <w:rPr>
          <w:sz w:val="24"/>
          <w:szCs w:val="24"/>
        </w:rPr>
        <w:t xml:space="preserve"> regarding restrictions on certain 'military end uses' or 'military end users' general prohibitions pertaining to Belarus, Burma, Cambodia, the People's Republic of China (China), Russia or Venezuela.</w:t>
      </w:r>
    </w:p>
    <w:p w14:paraId="3D1B1113" w14:textId="77777777" w:rsidR="006A1226" w:rsidRDefault="006A1226">
      <w:pPr>
        <w:pStyle w:val="BodyText"/>
        <w:spacing w:before="4"/>
        <w:rPr>
          <w:sz w:val="26"/>
        </w:rPr>
      </w:pPr>
    </w:p>
    <w:p w14:paraId="526AE8E2" w14:textId="77777777" w:rsidR="006A1226" w:rsidRDefault="0077512A">
      <w:pPr>
        <w:ind w:left="112"/>
        <w:rPr>
          <w:sz w:val="24"/>
        </w:rPr>
      </w:pPr>
      <w:r>
        <w:rPr>
          <w:sz w:val="24"/>
        </w:rPr>
        <w:t>Customer acknowledges that it will be responsible for any violation of the foregoing.</w:t>
      </w:r>
    </w:p>
    <w:p w14:paraId="6A74FDEA" w14:textId="77777777" w:rsidR="006A1226" w:rsidRDefault="006A1226">
      <w:pPr>
        <w:pStyle w:val="BodyText"/>
        <w:spacing w:before="5"/>
        <w:rPr>
          <w:sz w:val="24"/>
        </w:rPr>
      </w:pPr>
    </w:p>
    <w:p w14:paraId="253DF5B7" w14:textId="77777777" w:rsidR="006A1226" w:rsidRDefault="0077512A">
      <w:pPr>
        <w:ind w:left="112"/>
        <w:rPr>
          <w:b/>
          <w:sz w:val="24"/>
        </w:rPr>
      </w:pPr>
      <w:r>
        <w:rPr>
          <w:b/>
          <w:sz w:val="24"/>
        </w:rPr>
        <w:t>Signature of Authorized Company Representative</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4185"/>
        <w:gridCol w:w="4089"/>
      </w:tblGrid>
      <w:tr w:rsidR="006A1226" w14:paraId="787C827C" w14:textId="77777777">
        <w:trPr>
          <w:trHeight w:val="438"/>
        </w:trPr>
        <w:tc>
          <w:tcPr>
            <w:tcW w:w="1795" w:type="dxa"/>
            <w:tcBorders>
              <w:right w:val="nil"/>
            </w:tcBorders>
          </w:tcPr>
          <w:p w14:paraId="5508430C" w14:textId="77777777" w:rsidR="006A1226" w:rsidRDefault="0077512A">
            <w:pPr>
              <w:pStyle w:val="TableParagraph"/>
              <w:spacing w:before="71"/>
              <w:ind w:left="107"/>
              <w:rPr>
                <w:sz w:val="24"/>
              </w:rPr>
            </w:pPr>
            <w:r>
              <w:rPr>
                <w:sz w:val="24"/>
              </w:rPr>
              <w:t>Name (Printed):</w:t>
            </w:r>
          </w:p>
        </w:tc>
        <w:tc>
          <w:tcPr>
            <w:tcW w:w="8274" w:type="dxa"/>
            <w:gridSpan w:val="2"/>
            <w:tcBorders>
              <w:left w:val="nil"/>
            </w:tcBorders>
            <w:shd w:val="clear" w:color="auto" w:fill="EEECE1"/>
          </w:tcPr>
          <w:p w14:paraId="39010DD5" w14:textId="77777777" w:rsidR="006A1226" w:rsidRDefault="006A1226">
            <w:pPr>
              <w:pStyle w:val="TableParagraph"/>
            </w:pPr>
          </w:p>
        </w:tc>
      </w:tr>
      <w:tr w:rsidR="006A1226" w14:paraId="57602E1F" w14:textId="77777777">
        <w:trPr>
          <w:trHeight w:val="441"/>
        </w:trPr>
        <w:tc>
          <w:tcPr>
            <w:tcW w:w="1795" w:type="dxa"/>
            <w:tcBorders>
              <w:right w:val="nil"/>
            </w:tcBorders>
          </w:tcPr>
          <w:p w14:paraId="5BA6D4A5" w14:textId="77777777" w:rsidR="006A1226" w:rsidRDefault="0077512A">
            <w:pPr>
              <w:pStyle w:val="TableParagraph"/>
              <w:spacing w:before="73"/>
              <w:ind w:left="107"/>
              <w:rPr>
                <w:sz w:val="24"/>
              </w:rPr>
            </w:pPr>
            <w:r>
              <w:rPr>
                <w:sz w:val="24"/>
              </w:rPr>
              <w:t>Signature:</w:t>
            </w:r>
          </w:p>
        </w:tc>
        <w:tc>
          <w:tcPr>
            <w:tcW w:w="8274" w:type="dxa"/>
            <w:gridSpan w:val="2"/>
            <w:tcBorders>
              <w:left w:val="nil"/>
            </w:tcBorders>
            <w:shd w:val="clear" w:color="auto" w:fill="EEECE1"/>
          </w:tcPr>
          <w:p w14:paraId="2A3892B0" w14:textId="77777777" w:rsidR="006A1226" w:rsidRDefault="006A1226">
            <w:pPr>
              <w:pStyle w:val="TableParagraph"/>
            </w:pPr>
          </w:p>
        </w:tc>
      </w:tr>
      <w:tr w:rsidR="006A1226" w14:paraId="39FD9399" w14:textId="77777777">
        <w:trPr>
          <w:trHeight w:val="441"/>
        </w:trPr>
        <w:tc>
          <w:tcPr>
            <w:tcW w:w="1795" w:type="dxa"/>
            <w:tcBorders>
              <w:right w:val="nil"/>
            </w:tcBorders>
          </w:tcPr>
          <w:p w14:paraId="1FD64058" w14:textId="77777777" w:rsidR="006A1226" w:rsidRDefault="0077512A">
            <w:pPr>
              <w:pStyle w:val="TableParagraph"/>
              <w:spacing w:before="71"/>
              <w:ind w:left="107"/>
              <w:rPr>
                <w:sz w:val="24"/>
              </w:rPr>
            </w:pPr>
            <w:r>
              <w:rPr>
                <w:sz w:val="24"/>
              </w:rPr>
              <w:t>Title:</w:t>
            </w:r>
          </w:p>
        </w:tc>
        <w:tc>
          <w:tcPr>
            <w:tcW w:w="4185" w:type="dxa"/>
            <w:tcBorders>
              <w:left w:val="nil"/>
            </w:tcBorders>
            <w:shd w:val="clear" w:color="auto" w:fill="EEECE1"/>
          </w:tcPr>
          <w:p w14:paraId="796F24B7" w14:textId="77777777" w:rsidR="006A1226" w:rsidRDefault="006A1226">
            <w:pPr>
              <w:pStyle w:val="TableParagraph"/>
            </w:pPr>
          </w:p>
        </w:tc>
        <w:tc>
          <w:tcPr>
            <w:tcW w:w="4089" w:type="dxa"/>
            <w:shd w:val="clear" w:color="auto" w:fill="EEECE1"/>
          </w:tcPr>
          <w:p w14:paraId="37E07BE3" w14:textId="77777777" w:rsidR="006A1226" w:rsidRDefault="0077512A">
            <w:pPr>
              <w:pStyle w:val="TableParagraph"/>
              <w:spacing w:before="71"/>
              <w:ind w:left="108"/>
              <w:rPr>
                <w:sz w:val="24"/>
              </w:rPr>
            </w:pPr>
            <w:r>
              <w:rPr>
                <w:sz w:val="24"/>
              </w:rPr>
              <w:t>Date:</w:t>
            </w:r>
          </w:p>
        </w:tc>
      </w:tr>
    </w:tbl>
    <w:p w14:paraId="50143025" w14:textId="77777777" w:rsidR="006A1226" w:rsidRDefault="006A1226">
      <w:pPr>
        <w:pStyle w:val="BodyText"/>
        <w:spacing w:before="1"/>
        <w:rPr>
          <w:b/>
        </w:rPr>
      </w:pPr>
    </w:p>
    <w:p w14:paraId="3187D3EF" w14:textId="77777777" w:rsidR="006A1226" w:rsidRDefault="0077512A">
      <w:pPr>
        <w:ind w:left="112"/>
        <w:rPr>
          <w:sz w:val="24"/>
        </w:rPr>
      </w:pPr>
      <w:r>
        <w:rPr>
          <w:sz w:val="24"/>
        </w:rPr>
        <w:t xml:space="preserve">PLEASE TYPE or PRINT CLEARLY. RETURN BY FAX </w:t>
      </w:r>
      <w:r>
        <w:rPr>
          <w:color w:val="0000FF"/>
          <w:sz w:val="24"/>
        </w:rPr>
        <w:t xml:space="preserve">(fax #) </w:t>
      </w:r>
      <w:r>
        <w:rPr>
          <w:sz w:val="24"/>
        </w:rPr>
        <w:t xml:space="preserve">or email: </w:t>
      </w:r>
      <w:r>
        <w:rPr>
          <w:color w:val="0000FF"/>
          <w:sz w:val="24"/>
        </w:rPr>
        <w:t>(email)</w:t>
      </w:r>
    </w:p>
    <w:p w14:paraId="42DA3F28" w14:textId="77777777" w:rsidR="006A1226" w:rsidRDefault="006A1226">
      <w:pPr>
        <w:pStyle w:val="BodyText"/>
        <w:rPr>
          <w:sz w:val="20"/>
        </w:rPr>
      </w:pPr>
    </w:p>
    <w:p w14:paraId="49B5B85F" w14:textId="77777777" w:rsidR="006A1226" w:rsidRDefault="006A1226">
      <w:pPr>
        <w:pStyle w:val="BodyText"/>
        <w:rPr>
          <w:sz w:val="20"/>
        </w:rPr>
      </w:pPr>
    </w:p>
    <w:p w14:paraId="5B6F025B" w14:textId="77777777" w:rsidR="006A1226" w:rsidRDefault="006A1226">
      <w:pPr>
        <w:pStyle w:val="BodyText"/>
        <w:rPr>
          <w:sz w:val="20"/>
        </w:rPr>
      </w:pPr>
    </w:p>
    <w:p w14:paraId="4CBA41D6" w14:textId="77777777" w:rsidR="006A1226" w:rsidRDefault="006A1226">
      <w:pPr>
        <w:pStyle w:val="BodyText"/>
        <w:rPr>
          <w:sz w:val="22"/>
        </w:rPr>
      </w:pPr>
    </w:p>
    <w:p w14:paraId="207C9459" w14:textId="77777777" w:rsidR="006A1226" w:rsidRDefault="00053972">
      <w:pPr>
        <w:ind w:right="103"/>
        <w:jc w:val="right"/>
        <w:rPr>
          <w:sz w:val="24"/>
        </w:rPr>
      </w:pPr>
      <w:r>
        <w:rPr>
          <w:sz w:val="24"/>
        </w:rPr>
        <w:t>TC-008</w:t>
      </w:r>
      <w:r w:rsidR="0077512A">
        <w:rPr>
          <w:sz w:val="24"/>
        </w:rPr>
        <w:t xml:space="preserve"> REV</w:t>
      </w:r>
      <w:r w:rsidR="0077512A">
        <w:rPr>
          <w:spacing w:val="-6"/>
          <w:sz w:val="24"/>
        </w:rPr>
        <w:t xml:space="preserve"> </w:t>
      </w:r>
      <w:r w:rsidR="004F3D20">
        <w:rPr>
          <w:sz w:val="24"/>
        </w:rPr>
        <w:t>6</w:t>
      </w:r>
    </w:p>
    <w:p w14:paraId="6653D97F" w14:textId="77777777" w:rsidR="006A1226" w:rsidRDefault="004F3D20">
      <w:pPr>
        <w:ind w:right="104"/>
        <w:jc w:val="right"/>
        <w:rPr>
          <w:sz w:val="24"/>
        </w:rPr>
      </w:pPr>
      <w:r>
        <w:rPr>
          <w:sz w:val="24"/>
        </w:rPr>
        <w:t>November</w:t>
      </w:r>
      <w:r w:rsidR="00053972">
        <w:rPr>
          <w:sz w:val="24"/>
        </w:rPr>
        <w:t xml:space="preserve"> 2022</w:t>
      </w:r>
    </w:p>
    <w:sectPr w:rsidR="006A1226">
      <w:type w:val="continuous"/>
      <w:pgSz w:w="12240" w:h="15840"/>
      <w:pgMar w:top="640" w:right="90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717A0"/>
    <w:multiLevelType w:val="hybridMultilevel"/>
    <w:tmpl w:val="06ECFA30"/>
    <w:lvl w:ilvl="0" w:tplc="97FE785A">
      <w:start w:val="1"/>
      <w:numFmt w:val="decimal"/>
      <w:lvlText w:val="%1)"/>
      <w:lvlJc w:val="left"/>
      <w:pPr>
        <w:ind w:left="832" w:hanging="361"/>
        <w:jc w:val="left"/>
      </w:pPr>
      <w:rPr>
        <w:rFonts w:ascii="Times New Roman" w:eastAsia="Times New Roman" w:hAnsi="Times New Roman" w:cs="Times New Roman" w:hint="default"/>
        <w:w w:val="100"/>
        <w:sz w:val="23"/>
        <w:szCs w:val="23"/>
        <w:lang w:val="en-US" w:eastAsia="en-US" w:bidi="ar-SA"/>
      </w:rPr>
    </w:lvl>
    <w:lvl w:ilvl="1" w:tplc="AA8655EE">
      <w:numFmt w:val="bullet"/>
      <w:lvlText w:val="•"/>
      <w:lvlJc w:val="left"/>
      <w:pPr>
        <w:ind w:left="1786" w:hanging="361"/>
      </w:pPr>
      <w:rPr>
        <w:rFonts w:hint="default"/>
        <w:lang w:val="en-US" w:eastAsia="en-US" w:bidi="ar-SA"/>
      </w:rPr>
    </w:lvl>
    <w:lvl w:ilvl="2" w:tplc="0C1CD2FA">
      <w:numFmt w:val="bullet"/>
      <w:lvlText w:val="•"/>
      <w:lvlJc w:val="left"/>
      <w:pPr>
        <w:ind w:left="2732" w:hanging="361"/>
      </w:pPr>
      <w:rPr>
        <w:rFonts w:hint="default"/>
        <w:lang w:val="en-US" w:eastAsia="en-US" w:bidi="ar-SA"/>
      </w:rPr>
    </w:lvl>
    <w:lvl w:ilvl="3" w:tplc="53BA7284">
      <w:numFmt w:val="bullet"/>
      <w:lvlText w:val="•"/>
      <w:lvlJc w:val="left"/>
      <w:pPr>
        <w:ind w:left="3678" w:hanging="361"/>
      </w:pPr>
      <w:rPr>
        <w:rFonts w:hint="default"/>
        <w:lang w:val="en-US" w:eastAsia="en-US" w:bidi="ar-SA"/>
      </w:rPr>
    </w:lvl>
    <w:lvl w:ilvl="4" w:tplc="D59E84D2">
      <w:numFmt w:val="bullet"/>
      <w:lvlText w:val="•"/>
      <w:lvlJc w:val="left"/>
      <w:pPr>
        <w:ind w:left="4624" w:hanging="361"/>
      </w:pPr>
      <w:rPr>
        <w:rFonts w:hint="default"/>
        <w:lang w:val="en-US" w:eastAsia="en-US" w:bidi="ar-SA"/>
      </w:rPr>
    </w:lvl>
    <w:lvl w:ilvl="5" w:tplc="D6C01ECC">
      <w:numFmt w:val="bullet"/>
      <w:lvlText w:val="•"/>
      <w:lvlJc w:val="left"/>
      <w:pPr>
        <w:ind w:left="5570" w:hanging="361"/>
      </w:pPr>
      <w:rPr>
        <w:rFonts w:hint="default"/>
        <w:lang w:val="en-US" w:eastAsia="en-US" w:bidi="ar-SA"/>
      </w:rPr>
    </w:lvl>
    <w:lvl w:ilvl="6" w:tplc="BF325266">
      <w:numFmt w:val="bullet"/>
      <w:lvlText w:val="•"/>
      <w:lvlJc w:val="left"/>
      <w:pPr>
        <w:ind w:left="6516" w:hanging="361"/>
      </w:pPr>
      <w:rPr>
        <w:rFonts w:hint="default"/>
        <w:lang w:val="en-US" w:eastAsia="en-US" w:bidi="ar-SA"/>
      </w:rPr>
    </w:lvl>
    <w:lvl w:ilvl="7" w:tplc="93780C5A">
      <w:numFmt w:val="bullet"/>
      <w:lvlText w:val="•"/>
      <w:lvlJc w:val="left"/>
      <w:pPr>
        <w:ind w:left="7462" w:hanging="361"/>
      </w:pPr>
      <w:rPr>
        <w:rFonts w:hint="default"/>
        <w:lang w:val="en-US" w:eastAsia="en-US" w:bidi="ar-SA"/>
      </w:rPr>
    </w:lvl>
    <w:lvl w:ilvl="8" w:tplc="15FCA956">
      <w:numFmt w:val="bullet"/>
      <w:lvlText w:val="•"/>
      <w:lvlJc w:val="left"/>
      <w:pPr>
        <w:ind w:left="8408" w:hanging="361"/>
      </w:pPr>
      <w:rPr>
        <w:rFonts w:hint="default"/>
        <w:lang w:val="en-US" w:eastAsia="en-US" w:bidi="ar-SA"/>
      </w:rPr>
    </w:lvl>
  </w:abstractNum>
  <w:num w:numId="1" w16cid:durableId="2048721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226"/>
    <w:rsid w:val="00023D75"/>
    <w:rsid w:val="00053972"/>
    <w:rsid w:val="004F3D20"/>
    <w:rsid w:val="006A1226"/>
    <w:rsid w:val="0077512A"/>
    <w:rsid w:val="00B67B03"/>
    <w:rsid w:val="00CD39B4"/>
    <w:rsid w:val="00E44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C7E58"/>
  <w15:docId w15:val="{D72165DA-F240-480F-855D-EF1D2D9C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ind w:left="2268" w:right="2267"/>
      <w:jc w:val="center"/>
    </w:pPr>
    <w:rPr>
      <w:b/>
      <w:bCs/>
      <w:sz w:val="32"/>
      <w:szCs w:val="32"/>
    </w:rPr>
  </w:style>
  <w:style w:type="paragraph" w:styleId="ListParagraph">
    <w:name w:val="List Paragraph"/>
    <w:basedOn w:val="Normal"/>
    <w:uiPriority w:val="1"/>
    <w:qFormat/>
    <w:pPr>
      <w:ind w:left="832" w:right="129" w:hanging="361"/>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4F3D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479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15/subtitle-B/chapter-VII/subchapter-C/part-744/section-744.21" TargetMode="External"/><Relationship Id="rId3" Type="http://schemas.openxmlformats.org/officeDocument/2006/relationships/settings" Target="settings.xml"/><Relationship Id="rId7" Type="http://schemas.openxmlformats.org/officeDocument/2006/relationships/hyperlink" Target="https://www.ecfr.gov/current/title-15/subtitle-B/chapter-VII/subchapter-C/part-774/appendix-Supplement%20No.%201%20to%20Part%207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8F8F1.0CC4CAE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Susan</dc:creator>
  <cp:lastModifiedBy>Melissa Little</cp:lastModifiedBy>
  <cp:revision>2</cp:revision>
  <cp:lastPrinted>2022-11-16T19:00:00Z</cp:lastPrinted>
  <dcterms:created xsi:type="dcterms:W3CDTF">2022-11-16T19:01:00Z</dcterms:created>
  <dcterms:modified xsi:type="dcterms:W3CDTF">2022-11-16T19:01:00Z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2020-06-02T00:00:00Z</vt:filetime>
  </property>
  <property fmtid="{D5CDD505-2E9C-101B-9397-08002B2CF9AE}" pid="3" name="Creator">
    <vt:lpwstr>Acrobat PDFMaker 11 for Word</vt:lpwstr>
  </property>
  <property fmtid="{D5CDD505-2E9C-101B-9397-08002B2CF9AE}" pid="4" name="LastSaved">
    <vt:filetime>2021-04-15T00:00:00Z</vt:filetime>
  </property>
</Properties>
</file>